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1D16FE" w:rsidRPr="001D16FE" w:rsidTr="0009351F">
        <w:trPr>
          <w:trHeight w:val="3260"/>
        </w:trPr>
        <w:tc>
          <w:tcPr>
            <w:tcW w:w="4392" w:type="dxa"/>
          </w:tcPr>
          <w:p w:rsidR="001D16FE" w:rsidRPr="006509DB" w:rsidRDefault="001D16FE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1D16FE" w:rsidRPr="006509DB" w:rsidRDefault="001D16FE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1D16FE" w:rsidRPr="006509DB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1D16FE" w:rsidRPr="006509DB" w:rsidRDefault="001D16FE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1D16FE" w:rsidRPr="006509DB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1D16FE" w:rsidRPr="006509DB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1D16FE" w:rsidRPr="006509DB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1D16FE" w:rsidRPr="006509DB" w:rsidRDefault="001D16FE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1D16FE" w:rsidRPr="006509DB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1D16FE" w:rsidRPr="006509DB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7974C" wp14:editId="2BD3FB6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K/TwIAAFoEAAAOAAAAZHJzL2Uyb0RvYy54bWysVM1uEzEQviPxDtbe082mm9C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DAQ&#10;Ur9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1D16FE" w:rsidRPr="006509DB" w:rsidRDefault="001D16FE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E5F77A0" wp14:editId="2F7D289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1D16FE" w:rsidRPr="006509DB" w:rsidRDefault="001D16FE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1D16FE" w:rsidRPr="006509DB" w:rsidRDefault="001D16FE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1D16FE" w:rsidRPr="006509DB" w:rsidRDefault="001D16FE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1D16FE" w:rsidRPr="006509DB" w:rsidRDefault="001D16FE" w:rsidP="0009351F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урт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1D16FE" w:rsidRPr="006509DB" w:rsidRDefault="001D16FE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1D16FE" w:rsidRPr="006509DB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6509D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1D16FE" w:rsidRPr="006509DB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1D16FE" w:rsidRPr="001D16FE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D16FE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1D16FE" w:rsidRPr="001D16FE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1D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1D1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1D16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1D16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1D16FE" w:rsidRPr="001D16FE" w:rsidRDefault="001D16FE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6FE" w:rsidRPr="006509DB" w:rsidRDefault="001D16FE" w:rsidP="001D1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1D16FE" w:rsidRPr="006509DB" w:rsidRDefault="001D16FE" w:rsidP="001D1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19.04. 2022 г.                 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</w:t>
      </w:r>
    </w:p>
    <w:p w:rsidR="001D16FE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С.Кулада</w:t>
      </w:r>
    </w:p>
    <w:p w:rsidR="001D16FE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16FE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8E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О разработке и утверждении паспорта  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18E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населенного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пункта,</w:t>
      </w:r>
      <w:r w:rsidRPr="00D718E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 паспортов территорий</w:t>
      </w:r>
    </w:p>
    <w:p w:rsidR="001D16FE" w:rsidRDefault="001D16FE" w:rsidP="001D16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D16FE" w:rsidRDefault="001D16FE" w:rsidP="001D16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D16FE" w:rsidRDefault="001D16FE" w:rsidP="001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Администрация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Куладинского </w:t>
      </w: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  <w:t>ПОСТОНОВЛЯЮ</w:t>
      </w:r>
      <w:r w:rsidRPr="00D718EA"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  <w:t>:</w:t>
      </w:r>
      <w:r w:rsidRPr="00D718E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 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1.Утвердить Порядок разработки и утверждения паспорта населенного пункта, паспортов территорий согласно приложению к настоящему постановлению.</w:t>
      </w:r>
    </w:p>
    <w:p w:rsidR="001D16FE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публикации на официальном сайте МО «Онгудайский район», на странице администрации Куладинского  сельского поселения.</w:t>
      </w:r>
    </w:p>
    <w:p w:rsidR="001D16FE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</w:t>
      </w:r>
      <w:r w:rsidRPr="00450E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1D16FE" w:rsidRPr="00577915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1D16FE" w:rsidRPr="006509DB" w:rsidRDefault="001D16FE" w:rsidP="001D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E" w:rsidRDefault="001D16FE" w:rsidP="001D1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E" w:rsidRDefault="001D16FE" w:rsidP="001D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E" w:rsidRDefault="001D16FE" w:rsidP="001D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FE" w:rsidRDefault="001D16FE" w:rsidP="001D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Куладинского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</w:t>
      </w:r>
    </w:p>
    <w:p w:rsidR="001D16FE" w:rsidRDefault="001D16FE" w:rsidP="001D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6FE" w:rsidRDefault="001D16FE" w:rsidP="001D16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D16FE" w:rsidRDefault="001D16FE" w:rsidP="001D16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D16FE" w:rsidRPr="00D718EA" w:rsidRDefault="001D16FE" w:rsidP="001D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D16FE" w:rsidRPr="00D718EA" w:rsidRDefault="001D16FE" w:rsidP="001D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D16FE" w:rsidRDefault="001D16FE" w:rsidP="001D16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D16FE" w:rsidRPr="00D718EA" w:rsidRDefault="001D16FE" w:rsidP="001D16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sub_18000"/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bCs/>
          <w:sz w:val="26"/>
          <w:szCs w:val="24"/>
          <w:lang w:eastAsia="ru-RU"/>
        </w:rPr>
        <w:lastRenderedPageBreak/>
        <w:t xml:space="preserve">                                                        Приложени</w:t>
      </w:r>
      <w:r w:rsidRPr="00D718EA"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  <w:t xml:space="preserve">е </w:t>
      </w:r>
      <w:r w:rsidRPr="00D718EA"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  <w:br/>
      </w:r>
      <w:r w:rsidRPr="00D718EA">
        <w:rPr>
          <w:rFonts w:ascii="Times New Roman" w:eastAsia="Times New Roman" w:hAnsi="Times New Roman" w:cs="Times New Roman CYR"/>
          <w:bCs/>
          <w:sz w:val="26"/>
          <w:szCs w:val="24"/>
          <w:lang w:eastAsia="ru-RU"/>
        </w:rPr>
        <w:t xml:space="preserve">                                                                          к</w:t>
      </w:r>
      <w:r w:rsidRPr="00D718EA"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  <w:t xml:space="preserve"> </w:t>
      </w: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Главы </w:t>
      </w: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Куладинского </w:t>
      </w: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сельского поселения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 CYR"/>
          <w:sz w:val="26"/>
          <w:szCs w:val="24"/>
          <w:lang w:eastAsia="ru-RU"/>
        </w:rPr>
        <w:t>19.04.2022г. №21</w:t>
      </w: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</w:t>
      </w:r>
    </w:p>
    <w:p w:rsidR="001D16FE" w:rsidRPr="00D718EA" w:rsidRDefault="001D16FE" w:rsidP="001D16F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 CYR"/>
          <w:b/>
          <w:sz w:val="26"/>
          <w:szCs w:val="28"/>
          <w:lang w:eastAsia="ru-RU"/>
        </w:rPr>
        <w:tab/>
      </w:r>
      <w:r w:rsidRPr="00D718EA">
        <w:rPr>
          <w:rFonts w:ascii="Times New Roman" w:eastAsia="Times New Roman" w:hAnsi="Times New Roman" w:cs="Times New Roman"/>
          <w:b/>
          <w:color w:val="22272F"/>
          <w:sz w:val="26"/>
          <w:szCs w:val="28"/>
          <w:lang w:eastAsia="ru-RU"/>
        </w:rPr>
        <w:t xml:space="preserve"> Порядок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b/>
          <w:color w:val="22272F"/>
          <w:sz w:val="26"/>
          <w:szCs w:val="28"/>
          <w:lang w:eastAsia="ru-RU"/>
        </w:rPr>
        <w:t xml:space="preserve"> </w:t>
      </w:r>
      <w:r w:rsidRPr="00D718E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разработки и утверждения паспорта населенного пункта,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паспортов территорий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1. Настоящий порядок</w:t>
      </w:r>
      <w:r w:rsidRPr="00D718EA">
        <w:rPr>
          <w:rFonts w:ascii="Times New Roman" w:eastAsia="Times New Roman" w:hAnsi="Times New Roman" w:cs="Times New Roman"/>
          <w:b/>
          <w:color w:val="22272F"/>
          <w:sz w:val="26"/>
          <w:szCs w:val="28"/>
          <w:lang w:eastAsia="ru-RU"/>
        </w:rPr>
        <w:t xml:space="preserve"> </w:t>
      </w:r>
      <w:r w:rsidRPr="00D718EA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разработки и утверждения паспорта населенного пункта, паспортов территорий </w:t>
      </w: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разработан в соответствии с 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 от 16 сентября 2020 г. № 1479 «Правила противопожарного режима в Российской Федерации».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Тверской области исходя из природно-климатических особенностей, связанных со сходом снежного покрова в лесах.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Тверской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10. Глава сельского поселения, руководитель организации отдыха детей и их оздоровления,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Онгудайского</w:t>
      </w: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района, в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ОНД и ПР по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Шебалинскому и Онгудайскому районам УНД И ПР ГУ МЧС России по Республике Алтай. </w:t>
      </w:r>
    </w:p>
    <w:p w:rsidR="001D16FE" w:rsidRPr="00D718EA" w:rsidRDefault="001D16FE" w:rsidP="001D1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718EA">
        <w:rPr>
          <w:rFonts w:ascii="Times New Roman" w:eastAsia="Times New Roman" w:hAnsi="Times New Roman" w:cs="Times New Roman"/>
          <w:sz w:val="26"/>
          <w:szCs w:val="28"/>
          <w:lang w:eastAsia="ru-RU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8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ab/>
      </w: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      </w:t>
      </w: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</w:t>
      </w:r>
      <w:r w:rsidRPr="00D718EA">
        <w:rPr>
          <w:rFonts w:ascii="Times New Roman" w:eastAsia="Times New Roman" w:hAnsi="Times New Roman" w:cs="Times New Roman CYR"/>
          <w:bCs/>
          <w:sz w:val="26"/>
          <w:szCs w:val="24"/>
          <w:lang w:eastAsia="ru-RU"/>
        </w:rPr>
        <w:t>Приложение1</w:t>
      </w:r>
    </w:p>
    <w:bookmarkEnd w:id="0"/>
    <w:p w:rsidR="001D16FE" w:rsidRPr="00D718EA" w:rsidRDefault="001D16FE" w:rsidP="001D16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"/>
          <w:b/>
          <w:color w:val="22272F"/>
          <w:sz w:val="26"/>
          <w:szCs w:val="28"/>
          <w:lang w:eastAsia="ru-RU"/>
        </w:rPr>
        <w:t xml:space="preserve">                                                         </w:t>
      </w:r>
      <w:r w:rsidRPr="00D718EA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к Порядку </w:t>
      </w:r>
      <w:r w:rsidRPr="00D718E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разработки и утверждения паспорта 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                  населенного пункта, паспортов территорий</w:t>
      </w:r>
    </w:p>
    <w:p w:rsidR="001D16FE" w:rsidRPr="00D718EA" w:rsidRDefault="001D16FE" w:rsidP="001D16FE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>(форма)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               УТВЕРЖДАЮ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  _______________________________________ 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   (должность руководителя (заместителя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         руководителя) органа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местного самоуправления)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_________________________________________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   (фамилия, имя, отчество (при наличии)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_________________________________________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               (подпись и М.П.)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                                      "___"_______________20__ г.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lang w:eastAsia="ru-RU"/>
        </w:rPr>
      </w:pPr>
      <w:r w:rsidRPr="00D718EA">
        <w:rPr>
          <w:rFonts w:ascii="Times New Roman" w:eastAsia="Times New Roman" w:hAnsi="Times New Roman" w:cs="Courier New"/>
          <w:b/>
          <w:bCs/>
          <w:sz w:val="26"/>
          <w:szCs w:val="24"/>
          <w:lang w:eastAsia="ru-RU"/>
        </w:rPr>
        <w:t>ПАСПОРТ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b/>
          <w:bCs/>
          <w:sz w:val="26"/>
          <w:szCs w:val="24"/>
          <w:lang w:eastAsia="ru-RU"/>
        </w:rPr>
        <w:t>населенного пункта, подверженного угрозе лесных пожаров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Наименование населенного пункта__________________________________________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Наименование поселения___________________________________________________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Наименование городского округа_______________________________________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Наименование субъекта Российской Федерации_______________________________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  <w:bookmarkStart w:id="1" w:name="sub_18100"/>
      <w:r w:rsidRPr="00D718EA"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  <w:t>I. Общие сведения о населенном пункте</w:t>
      </w:r>
    </w:p>
    <w:bookmarkEnd w:id="1"/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1D16FE" w:rsidRPr="00D718EA" w:rsidTr="0009351F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Значение</w:t>
            </w:r>
          </w:p>
        </w:tc>
      </w:tr>
      <w:tr w:rsidR="001D16FE" w:rsidRPr="00D718EA" w:rsidTr="0009351F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2" w:name="sub_18101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3" w:name="sub_18102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4" w:name="sub_18103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5" w:name="sub_18104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</w:tbl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  <w:bookmarkStart w:id="6" w:name="sub_18200"/>
      <w:r w:rsidRPr="00D718EA"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1D16FE" w:rsidRPr="00D718EA" w:rsidTr="0009351F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lastRenderedPageBreak/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1D16FE" w:rsidRPr="00D718EA" w:rsidTr="0009351F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</w:tbl>
    <w:p w:rsidR="001D16FE" w:rsidRPr="00D718EA" w:rsidRDefault="001D16FE" w:rsidP="001D1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  <w:bookmarkStart w:id="7" w:name="sub_18300"/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lang w:eastAsia="ru-RU"/>
        </w:rPr>
      </w:pPr>
      <w:bookmarkStart w:id="8" w:name="sub_18301"/>
      <w:bookmarkEnd w:id="7"/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1. Подразделения пожарной охраны (наименование, вид),</w:t>
      </w:r>
    </w:p>
    <w:bookmarkEnd w:id="8"/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дислоцированные на территории населенного пункта, адрес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______________________________________________________________________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______________________________________________________________________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bookmarkStart w:id="9" w:name="sub_18302"/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 xml:space="preserve">     2. Ближайшее к населенному пункту подразделение пожарной  охраны</w:t>
      </w:r>
    </w:p>
    <w:bookmarkEnd w:id="9"/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(наименование, вид), адрес____________________________________________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Courier New"/>
          <w:sz w:val="26"/>
          <w:szCs w:val="24"/>
          <w:lang w:eastAsia="ru-RU"/>
        </w:rPr>
        <w:t>______________________________________________________________________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  <w:bookmarkStart w:id="10" w:name="sub_18400"/>
      <w:r w:rsidRPr="00D718EA"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1D16FE" w:rsidRPr="00D718EA" w:rsidTr="0009351F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Контактный телефон</w:t>
            </w:r>
          </w:p>
        </w:tc>
      </w:tr>
      <w:tr w:rsidR="001D16FE" w:rsidRPr="00D718EA" w:rsidTr="0009351F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</w:tbl>
    <w:p w:rsidR="001D16FE" w:rsidRPr="00D718EA" w:rsidRDefault="001D16FE" w:rsidP="001D16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  <w:bookmarkStart w:id="11" w:name="sub_18500"/>
      <w:r w:rsidRPr="00D718EA"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1D16FE" w:rsidRPr="00D718EA" w:rsidTr="0009351F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Информация о выполнении</w:t>
            </w:r>
          </w:p>
        </w:tc>
      </w:tr>
      <w:tr w:rsidR="001D16FE" w:rsidRPr="00D718EA" w:rsidTr="0009351F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12" w:name="sub_18501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13" w:name="sub_18502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14" w:name="sub_18503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15" w:name="sub_18504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lastRenderedPageBreak/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16" w:name="sub_18505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17" w:name="sub_18506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18" w:name="sub_18507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  <w:tr w:rsidR="001D16FE" w:rsidRPr="00D718EA" w:rsidTr="0009351F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bookmarkStart w:id="19" w:name="sub_18508"/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E" w:rsidRPr="00D718EA" w:rsidRDefault="001D16FE" w:rsidP="0009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</w:tbl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                            </w:t>
      </w: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   </w:t>
      </w: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1D16FE" w:rsidRPr="00D718EA" w:rsidRDefault="001D16FE" w:rsidP="001D16F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                                  </w:t>
      </w:r>
      <w:r w:rsidRPr="00D718EA">
        <w:rPr>
          <w:rFonts w:ascii="Times New Roman" w:eastAsia="Times New Roman" w:hAnsi="Times New Roman" w:cs="Times New Roman CYR"/>
          <w:bCs/>
          <w:sz w:val="26"/>
          <w:szCs w:val="24"/>
          <w:lang w:eastAsia="ru-RU"/>
        </w:rPr>
        <w:t>Приложение2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"/>
          <w:b/>
          <w:color w:val="22272F"/>
          <w:sz w:val="26"/>
          <w:szCs w:val="28"/>
          <w:lang w:eastAsia="ru-RU"/>
        </w:rPr>
        <w:t xml:space="preserve">                                                                 </w:t>
      </w:r>
      <w:r w:rsidRPr="00D718EA"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  <w:t xml:space="preserve">к Порядку </w:t>
      </w:r>
      <w:r w:rsidRPr="00D718E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разработки и утверждения 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                       паспорта   населенного пункта,</w:t>
      </w:r>
    </w:p>
    <w:p w:rsidR="001D16FE" w:rsidRPr="00D718EA" w:rsidRDefault="001D16FE" w:rsidP="001D1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        паспортов территорий</w:t>
      </w:r>
    </w:p>
    <w:p w:rsidR="001D16FE" w:rsidRPr="00D718EA" w:rsidRDefault="001D16FE" w:rsidP="001D16F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D718EA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(форма)</w:t>
      </w:r>
    </w:p>
    <w:p w:rsidR="001D16FE" w:rsidRPr="00D718EA" w:rsidRDefault="001D16FE" w:rsidP="001D16FE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</w:rPr>
      </w:pP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Courier New"/>
          <w:color w:val="22272F"/>
          <w:sz w:val="26"/>
          <w:szCs w:val="21"/>
        </w:rPr>
      </w:pPr>
      <w:r w:rsidRPr="00D718EA">
        <w:rPr>
          <w:rFonts w:ascii="Times New Roman" w:eastAsia="Calibri" w:hAnsi="Times New Roman" w:cs="Times New Roman"/>
          <w:sz w:val="26"/>
          <w:szCs w:val="28"/>
        </w:rPr>
        <w:tab/>
      </w:r>
      <w:r w:rsidRPr="00D718EA">
        <w:rPr>
          <w:rFonts w:ascii="Times New Roman" w:eastAsia="Calibri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 xml:space="preserve">                             ____________________________________________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 xml:space="preserve">                                  (должность руководителя организации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 xml:space="preserve">                             ____________________________________________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 xml:space="preserve">                                (фамилия, имя, отчество (при наличии)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 xml:space="preserve">                             ____________________________________________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 xml:space="preserve">                                              (подпись и М.П.)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 xml:space="preserve">                             "___"______________20___ г.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b/>
          <w:bCs/>
          <w:color w:val="22272F"/>
          <w:sz w:val="26"/>
          <w:szCs w:val="21"/>
          <w:lang w:eastAsia="ru-RU"/>
        </w:rPr>
        <w:t>ПАСПОРТ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b/>
          <w:bCs/>
          <w:color w:val="22272F"/>
          <w:sz w:val="26"/>
          <w:szCs w:val="21"/>
          <w:lang w:eastAsia="ru-RU"/>
        </w:rPr>
        <w:t xml:space="preserve"> территории организации отдыха детей и их оздоровления, подверженной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b/>
          <w:bCs/>
          <w:color w:val="22272F"/>
          <w:sz w:val="26"/>
          <w:szCs w:val="21"/>
          <w:lang w:eastAsia="ru-RU"/>
        </w:rPr>
        <w:t xml:space="preserve"> угрозе лесных пожаров, территории ведения гражданами садоводства или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b/>
          <w:bCs/>
          <w:color w:val="22272F"/>
          <w:sz w:val="26"/>
          <w:szCs w:val="21"/>
          <w:lang w:eastAsia="ru-RU"/>
        </w:rPr>
        <w:t>огородничества для собственных нужд, подверженной угрозе лесных пожаров</w:t>
      </w:r>
      <w:hyperlink r:id="rId6" w:anchor="/document/74680206/entry/19111" w:history="1">
        <w:r w:rsidRPr="00D718EA">
          <w:rPr>
            <w:rFonts w:ascii="Times New Roman" w:eastAsia="Times New Roman" w:hAnsi="Times New Roman" w:cs="Courier New"/>
            <w:b/>
            <w:bCs/>
            <w:color w:val="3272C0"/>
            <w:sz w:val="26"/>
            <w:szCs w:val="21"/>
            <w:u w:val="single"/>
            <w:lang w:eastAsia="ru-RU"/>
          </w:rPr>
          <w:t>*</w:t>
        </w:r>
      </w:hyperlink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>Наименование организации_________________________________________________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>Наименование поселения __________________________________________________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>Наименование муниципального района_______________________________________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>Наименование муниципального, городского округа___________________________</w:t>
      </w:r>
    </w:p>
    <w:p w:rsidR="001D16FE" w:rsidRPr="00D718EA" w:rsidRDefault="001D16FE" w:rsidP="001D16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</w:pPr>
      <w:r w:rsidRPr="00D718EA">
        <w:rPr>
          <w:rFonts w:ascii="Times New Roman" w:eastAsia="Times New Roman" w:hAnsi="Times New Roman" w:cs="Courier New"/>
          <w:color w:val="22272F"/>
          <w:sz w:val="26"/>
          <w:szCs w:val="21"/>
          <w:lang w:eastAsia="ru-RU"/>
        </w:rPr>
        <w:t>Наименование субъекта Российской Федерации ______________________________</w:t>
      </w:r>
    </w:p>
    <w:p w:rsidR="001D16FE" w:rsidRPr="00D718EA" w:rsidRDefault="001D16FE" w:rsidP="001D16FE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32"/>
          <w:lang w:eastAsia="ru-RU"/>
        </w:rPr>
      </w:pPr>
      <w:r w:rsidRPr="00D718EA">
        <w:rPr>
          <w:rFonts w:ascii="Times New Roman" w:eastAsia="Times New Roman" w:hAnsi="Times New Roman" w:cs="Times New Roman"/>
          <w:color w:val="22272F"/>
          <w:sz w:val="26"/>
          <w:szCs w:val="32"/>
          <w:lang w:eastAsia="ru-RU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1D16FE" w:rsidRPr="00D718EA" w:rsidTr="0009351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Значение</w:t>
            </w:r>
          </w:p>
        </w:tc>
      </w:tr>
      <w:tr w:rsidR="001D16FE" w:rsidRPr="00D718EA" w:rsidTr="0009351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1D16FE" w:rsidRPr="00D718EA" w:rsidTr="0009351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1D16FE" w:rsidRPr="00D718EA" w:rsidTr="0009351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Общая площадь городских, хвойных (смешанных) лесов, </w:t>
            </w: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 </w:t>
            </w:r>
          </w:p>
        </w:tc>
      </w:tr>
      <w:tr w:rsidR="001D16FE" w:rsidRPr="00D718EA" w:rsidTr="0009351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</w:tbl>
    <w:p w:rsidR="001D16FE" w:rsidRPr="00D718EA" w:rsidRDefault="001D16FE" w:rsidP="001D16FE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</w:pPr>
      <w:r w:rsidRPr="00D718EA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 </w:t>
      </w:r>
      <w:r w:rsidRPr="00D718EA">
        <w:rPr>
          <w:rFonts w:ascii="Times New Roman" w:eastAsia="Times New Roman" w:hAnsi="Times New Roman" w:cs="Times New Roman"/>
          <w:color w:val="22272F"/>
          <w:sz w:val="26"/>
          <w:szCs w:val="32"/>
          <w:lang w:eastAsia="ru-RU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1D16FE" w:rsidRPr="00D718EA" w:rsidTr="0009351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Численность пациентов (отдыхающих)</w:t>
            </w:r>
          </w:p>
        </w:tc>
      </w:tr>
    </w:tbl>
    <w:p w:rsidR="001D16FE" w:rsidRPr="00D718EA" w:rsidRDefault="001D16FE" w:rsidP="001D16FE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</w:pPr>
    </w:p>
    <w:p w:rsidR="001D16FE" w:rsidRPr="00D718EA" w:rsidRDefault="001D16FE" w:rsidP="001D16FE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32"/>
          <w:lang w:eastAsia="ru-RU"/>
        </w:rPr>
      </w:pPr>
      <w:r w:rsidRPr="00D718EA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 </w:t>
      </w:r>
      <w:r w:rsidRPr="00D718EA">
        <w:rPr>
          <w:rFonts w:ascii="Times New Roman" w:eastAsia="Times New Roman" w:hAnsi="Times New Roman" w:cs="Times New Roman"/>
          <w:color w:val="22272F"/>
          <w:sz w:val="26"/>
          <w:szCs w:val="32"/>
          <w:lang w:eastAsia="ru-RU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1D16FE" w:rsidRPr="00D718EA" w:rsidRDefault="001D16FE" w:rsidP="001D16FE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32"/>
          <w:lang w:eastAsia="ru-RU"/>
        </w:rPr>
      </w:pPr>
      <w:r w:rsidRPr="00D718EA"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  <w:t>1. Подразделения пожарной охраны (наименование, вид, адрес)</w:t>
      </w:r>
    </w:p>
    <w:p w:rsidR="001D16FE" w:rsidRPr="00D718EA" w:rsidRDefault="001D16FE" w:rsidP="001D16FE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</w:pPr>
      <w:r w:rsidRPr="00D718EA">
        <w:rPr>
          <w:rFonts w:ascii="Times New Roman" w:eastAsia="Times New Roman" w:hAnsi="Times New Roman" w:cs="Times New Roman"/>
          <w:color w:val="22272F"/>
          <w:sz w:val="26"/>
          <w:szCs w:val="32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1D16FE" w:rsidRPr="00D718EA" w:rsidTr="0009351F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Контактный телефон</w:t>
            </w:r>
          </w:p>
        </w:tc>
      </w:tr>
      <w:tr w:rsidR="001D16FE" w:rsidRPr="00D718EA" w:rsidTr="0009351F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</w:tbl>
    <w:p w:rsidR="001D16FE" w:rsidRPr="00D718EA" w:rsidRDefault="001D16FE" w:rsidP="001D16FE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3"/>
          <w:lang w:eastAsia="ru-RU"/>
        </w:rPr>
      </w:pPr>
      <w:r w:rsidRPr="00D718EA">
        <w:rPr>
          <w:rFonts w:ascii="Times New Roman" w:eastAsia="Times New Roman" w:hAnsi="Times New Roman" w:cs="Times New Roman"/>
          <w:color w:val="22272F"/>
          <w:sz w:val="26"/>
          <w:szCs w:val="32"/>
          <w:lang w:eastAsia="ru-RU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1D16FE" w:rsidRPr="00D718EA" w:rsidTr="0009351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Информация о выполнении</w:t>
            </w:r>
          </w:p>
        </w:tc>
      </w:tr>
      <w:tr w:rsidR="001D16FE" w:rsidRPr="00D718EA" w:rsidTr="0009351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1D16FE" w:rsidRPr="00D718EA" w:rsidTr="0009351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1D16FE" w:rsidRPr="00D718EA" w:rsidTr="0009351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Звуковая сигнализация для оповещения людей о пожаре</w:t>
            </w:r>
            <w:hyperlink r:id="rId7" w:anchor="/document/74680206/entry/19222" w:history="1">
              <w:r w:rsidRPr="00D718EA">
                <w:rPr>
                  <w:rFonts w:ascii="Times New Roman" w:eastAsia="Times New Roman" w:hAnsi="Times New Roman" w:cs="Times New Roman"/>
                  <w:color w:val="3272C0"/>
                  <w:sz w:val="26"/>
                  <w:szCs w:val="24"/>
                  <w:u w:val="single"/>
                  <w:lang w:eastAsia="ru-RU"/>
                </w:rPr>
                <w:t>**</w:t>
              </w:r>
            </w:hyperlink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, а также телефонная связь (радиосвязь) для </w:t>
            </w: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 </w:t>
            </w:r>
          </w:p>
        </w:tc>
      </w:tr>
      <w:tr w:rsidR="001D16FE" w:rsidRPr="00D718EA" w:rsidTr="0009351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 </w:t>
            </w:r>
          </w:p>
        </w:tc>
      </w:tr>
      <w:tr w:rsidR="001D16FE" w:rsidRPr="00D718EA" w:rsidTr="0009351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6FE" w:rsidRPr="00D718EA" w:rsidRDefault="001D16FE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D718E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6FE" w:rsidRPr="00D718EA" w:rsidRDefault="001D16FE" w:rsidP="0009351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D16FE" w:rsidRPr="00D718EA" w:rsidRDefault="001D16FE" w:rsidP="001D16FE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6"/>
          <w:szCs w:val="28"/>
        </w:rPr>
      </w:pPr>
    </w:p>
    <w:p w:rsidR="004A4959" w:rsidRDefault="004A4959">
      <w:bookmarkStart w:id="20" w:name="_GoBack"/>
      <w:bookmarkEnd w:id="2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6E"/>
    <w:rsid w:val="001D16FE"/>
    <w:rsid w:val="004A4959"/>
    <w:rsid w:val="008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2425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2022-05-11T03:49:00Z</dcterms:created>
  <dcterms:modified xsi:type="dcterms:W3CDTF">2022-05-11T03:49:00Z</dcterms:modified>
</cp:coreProperties>
</file>