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7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0" w:line="1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30.04.2021г)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район” на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2022 и 2023 годов</w:t>
      </w:r>
      <w:bookmarkEnd w:id="1"/>
    </w:p>
    <w:p>
      <w:pPr>
        <w:pStyle w:val="Style7"/>
        <w:framePr w:w="1005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10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"/>
              </w:rPr>
              <w:t>Уточненный план 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2023г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10" w:lineRule="exact"/>
              <w:ind w:left="200" w:right="0" w:firstLine="0"/>
            </w:pPr>
            <w:r>
              <w:rPr>
                <w:rStyle w:val="CharStyle10"/>
              </w:rPr>
              <w:t>Вид</w:t>
            </w:r>
          </w:p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10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051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21711,3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4895,1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802,8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802,8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802,8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602,8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1655,2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1210,7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681,5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444,5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Софинансирование расходов на реализацию мероприятий федеральной целевой программы «Устойчивое развитие сельских территорий на 2014-2017 годы и на период до 2020 года» в части предоставления 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444,5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444,5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51406,9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50630,2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6359,7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6359,7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4271,5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4271,5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2088,2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2082,1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40791,8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40791,8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24576,0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23411,9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23411,9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824,4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824,4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786,2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1718,8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940,2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88,6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966,5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968,4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378,4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378,4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460,0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31908,5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31833,3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5612,9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5612,9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4720,0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892,9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889,9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26295,6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26220,4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26295,6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26220,4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25893,9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25893,9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21568,8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21957,2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3147,2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3147,2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2873,5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2873,5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273,6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273,6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1662,2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1631,6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43,0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101,6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101,6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1289,0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1289,0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1007,1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281,9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198,0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198,0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198,0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3811,4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3167,0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2411,1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1766,7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1003,5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1003,5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763,2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763,2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14011,5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14011,5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14011,5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14011,5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7482,8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7482,8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7482,8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4454,6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4454,6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3028,2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2876,5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151,7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357771,8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244634,0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8541,5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6914,2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4580,9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4580,9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2333,3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2319,3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14,0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318676,8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199416,3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313003,9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192475,9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59039,1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58088,9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59039,1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58088,9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29201,5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29201,5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3132,0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3132,0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178885,4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60334,0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178885,4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60334,0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1124,0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1124,0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2986,4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2986,4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4429,7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13866,1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13866,1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19300,0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6940,4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6940,4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6940,4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23745,5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33065,9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22312,7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31633,1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18047,8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18047,8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5548,4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5548,4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8036,9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8036,9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1432,8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1432,8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1267,4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6673,8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2066,0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2066,0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1247,9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1247,9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860,0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860,0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860,0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12840,6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380947,0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96" w:left="1414" w:right="435" w:bottom="226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6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