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35" w:line="149" w:lineRule="exact"/>
        <w:ind w:left="6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 к решению «О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1" w:line="13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район” на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2023 и 2024 годов</w:t>
      </w:r>
    </w:p>
    <w:p>
      <w:pPr>
        <w:pStyle w:val="Style7"/>
        <w:framePr w:w="85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7"/>
        <w:gridCol w:w="3360"/>
        <w:gridCol w:w="1104"/>
        <w:gridCol w:w="1104"/>
        <w:gridCol w:w="1133"/>
      </w:tblGrid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Уточненный план на 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План на 2024 год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0"/>
              </w:rPr>
              <w:t>15 372,3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410 506,3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369 039,5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8 930,2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157 341,7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159 029,6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7 105,2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137 704,7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140 340,4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7 097,0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73 460,0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7 097,0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73 460,0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1"/>
                <w:vertAlign w:val="superscript"/>
              </w:rPr>
              <w:t>1</w:t>
            </w:r>
            <w:r>
              <w:rPr>
                <w:rStyle w:val="CharStyle11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6 927,0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70 240,0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72 360,0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750,0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1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14 799,4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14 799,4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7 083,6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6 934,4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165,0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7 649,6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7 700,0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1 815,0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20 575,0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20 721,0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4 000,0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18 350,0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18 450,0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2 150,0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12 050,0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12 100,0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1 850,0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6 350,0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1 600,0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- 2 555,0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671,0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- 2 900,0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29 500,0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- 2 900,0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29 500,0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- 2 900,0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29 500,0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1 770,0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1 770,0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1 700,0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65,0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1"/>
              </w:rPr>
              <w:t>1 825,0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19 637,0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18 689,3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2 156,0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1 936,0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1 950,0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1 800,0</w:t>
            </w:r>
          </w:p>
        </w:tc>
      </w:tr>
    </w:tbl>
    <w:p>
      <w:pPr>
        <w:framePr w:w="85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3360"/>
        <w:gridCol w:w="1104"/>
        <w:gridCol w:w="1104"/>
        <w:gridCol w:w="1133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36,0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84,0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40,0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14 423,3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14 423,3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1 500,0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1 500,0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1 500,0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730,0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6 442,1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253 164,6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210 009,9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6 442,1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253 164,6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210 009,9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712,4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123 210,2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712,4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123 210,2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- 1 789,0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25 328,3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22 487,7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- 754,6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6 047,0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3 449,6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13 494,9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13 852,4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1 140,8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1 140,8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бюджетам муниципальных районов на комплектование книжных фондов муниципальных общедоступным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108,3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- 435,6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- 823,2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3 952,8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3 348,6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29,4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46,3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835,0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1 936,5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- 143,7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5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3360"/>
        <w:gridCol w:w="1104"/>
        <w:gridCol w:w="1104"/>
        <w:gridCol w:w="1133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- 1 590,2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1 336,4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7 086,7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84 804,1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43 742,1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7 086,9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80 357,4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39 295,8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(СП)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 xml:space="preserve">- </w:t>
            </w:r>
            <w:r>
              <w:rPr>
                <w:rStyle w:val="CharStyle12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5 782,4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7 318,7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69 280,0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28 218,4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1 260,7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225,1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271,6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1 425,7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- 312,9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690,6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2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4 443,1</w:t>
            </w:r>
          </w:p>
        </w:tc>
      </w:tr>
    </w:tbl>
    <w:p>
      <w:pPr>
        <w:framePr w:w="85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3360"/>
        <w:gridCol w:w="1104"/>
        <w:gridCol w:w="1104"/>
        <w:gridCol w:w="1133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19 822,0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20 569,9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90,0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20 479,9</w:t>
            </w:r>
          </w:p>
        </w:tc>
      </w:tr>
    </w:tbl>
    <w:p>
      <w:pPr>
        <w:framePr w:w="85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50" w:left="1817" w:right="1505" w:bottom="348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Курсив"/>
    <w:basedOn w:val="CharStyle4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5 pt,Курсив"/>
    <w:basedOn w:val="CharStyle4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before="42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