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39" w:line="154" w:lineRule="exact"/>
        <w:ind w:left="7100" w:right="6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3 к решению «О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26" w:line="130" w:lineRule="exact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Нормативы распределения доходов между бюджетом муниципального образования "Онгудайский район" и бюджетами сельских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center"/>
        <w:spacing w:before="0" w:after="0" w:line="130" w:lineRule="exact"/>
        <w:ind w:left="0" w:right="2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поселений в 2022 году</w:t>
      </w:r>
    </w:p>
    <w:tbl>
      <w:tblPr>
        <w:tblOverlap w:val="never"/>
        <w:tblLayout w:type="fixed"/>
        <w:jc w:val="center"/>
      </w:tblPr>
      <w:tblGrid>
        <w:gridCol w:w="2275"/>
        <w:gridCol w:w="4090"/>
        <w:gridCol w:w="1541"/>
        <w:gridCol w:w="1061"/>
      </w:tblGrid>
      <w:tr>
        <w:trPr>
          <w:trHeight w:val="46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Код доходов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Наименование доходов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Норматив распределения, %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6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896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7"/>
              </w:rPr>
              <w:t>бюджет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7"/>
              </w:rPr>
              <w:t>муниципального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7"/>
              </w:rPr>
              <w:t>района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7"/>
              </w:rPr>
              <w:t>бюджеты</w:t>
            </w:r>
          </w:p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7"/>
              </w:rPr>
              <w:t>поселений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7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182 109 04050 01 0000 110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Земельный налог (по обязательствам, возникшим до 1 января 2006 года)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96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89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8"/>
              </w:rPr>
              <w:t>100</w:t>
            </w:r>
          </w:p>
        </w:tc>
      </w:tr>
    </w:tbl>
    <w:p>
      <w:pPr>
        <w:framePr w:w="89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47" w:left="311" w:right="1403" w:bottom="1047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Основной текст (5)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7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8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120" w:line="16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Основной текст (5)"/>
    <w:basedOn w:val="Normal"/>
    <w:link w:val="CharStyle6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