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D12F0D" w:rsidTr="00D12F0D">
        <w:trPr>
          <w:cantSplit/>
          <w:trHeight w:val="2173"/>
        </w:trPr>
        <w:tc>
          <w:tcPr>
            <w:tcW w:w="4836" w:type="dxa"/>
          </w:tcPr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D12F0D" w:rsidRDefault="00D12F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D12F0D" w:rsidRDefault="00D12F0D" w:rsidP="00D12F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D12F0D" w:rsidRDefault="00D12F0D" w:rsidP="00D1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февраля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№12</w:t>
      </w:r>
    </w:p>
    <w:p w:rsidR="00D12F0D" w:rsidRDefault="00D12F0D" w:rsidP="00D12F0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упчегень</w:t>
      </w:r>
      <w:proofErr w:type="spellEnd"/>
    </w:p>
    <w:p w:rsidR="00D12F0D" w:rsidRDefault="00D12F0D" w:rsidP="00D12F0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 внесении изменений  и дополнений                                                                                                             в  постановление главы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                                                                          поселение «Об утверждении Положения об оказании                                                                             поддержки гражданам и их объединениям,                                                                                               участвующим в охране общественного                                                                                                               порядка, создания условий для деятельности                                                                                          народных дружин на территории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сельское  поселение» от 27.04.2016г.  №56</w:t>
      </w:r>
    </w:p>
    <w:p w:rsidR="00D12F0D" w:rsidRDefault="00D12F0D" w:rsidP="00D12F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02.04.2014 № 44-ФЗ «Об участии граждан в охране общественного порядка», статьями 2,4 Закона Республики Алтай от 07.07.2015 № 33-РЗ «О регулировании отдельных вопросов участия граждан в охране общественного порядка на территории Республики Алтай», </w:t>
      </w: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статьями 14,16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0D" w:rsidRDefault="00D12F0D" w:rsidP="00D12F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и дополнения  в постановление главы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27.04.2016г.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№56 «Об утверждении  Положения   об  оказании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(Прилагается)  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официального опубликования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 сайте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                                                                                                                                                       3. Контроль за исполнение  настоящего постановления оставляю за собой</w:t>
      </w:r>
    </w:p>
    <w:p w:rsidR="00D12F0D" w:rsidRDefault="00D12F0D" w:rsidP="00D12F0D">
      <w:pPr>
        <w:rPr>
          <w:rFonts w:ascii="Times New Roman" w:hAnsi="Times New Roman" w:cs="Times New Roman"/>
          <w:sz w:val="24"/>
          <w:szCs w:val="24"/>
        </w:rPr>
      </w:pP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D12F0D" w:rsidRDefault="00D12F0D" w:rsidP="00D12F0D">
      <w:pPr>
        <w:autoSpaceDE w:val="0"/>
        <w:autoSpaceDN w:val="0"/>
        <w:adjustRightInd w:val="0"/>
        <w:spacing w:line="240" w:lineRule="exact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к постановлению                                     от 09.02.2018г. №12</w:t>
      </w:r>
    </w:p>
    <w:p w:rsidR="00D12F0D" w:rsidRDefault="00D12F0D" w:rsidP="00D12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2F0D" w:rsidRDefault="00D12F0D" w:rsidP="00D12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на основании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статей 14,16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6 Федерального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апреля 2014 года № 44-ФЗ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в охране общественного порядка» в целях укрепления охраны общественного порядка на территории муниципального образования.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F0D" w:rsidRDefault="00D12F0D" w:rsidP="00D12F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и территориального органа федерального органа исполнительной власти в сфере внутренних дел.                                                                                                              . 1.2.Границы территории, на которой может быть создана народная дружина, устанавливаются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на территории муниципального образования создается, как правило, одна народная дружина.                1.3. Народная дружина может участвовать в охране общественного порядка только после внесения ее в региональный реестр в порядке, установленном статьей 7 Федерального закона от 02.04.2014 № 44-ФЗ «Об участии граждан в охране общественного порядка».                                 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Народная дружина действует в соответствии с Федеральным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02.04.2014 № 44-ФЗ «Об участии граждан в охране общественного порядка»,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 Республики Алтай, муниципальными нормативными правовыми актами, Уставом народной дружины, а также настоящим Положением.                                                                                         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создания, реорганизации и (или) ликвидации общественного объединения правоохранительной направленности, народной дружины определяется Федеральным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 мая 1995 года № 82-ФЗ «Об общественных объединениях» с учетом положений Федеральным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02.04.2014 № 44-ФЗ «Об участии граждан в охране общественного порядка», </w:t>
      </w:r>
      <w:hyperlink r:id="rId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Алтай».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ОСНОВНЫЕ НАПРАВЛЕНИЯ ДЕЯТЕЛЬНОСТИ НАРОДНОЙ ДРУЖИНЫ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Народная дружина решает стоящие перед ней задачи во взаимодействии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сельским Советом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территориальным органом внутренних дел и иным  правоохранительным органам. 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направлениями деятельности народной дружины являются: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содействие отделу полиции и иным правоохранительным  органам в охране общественного порядка;                                                                                                                                                    2) участие в предупреждении и пресечении правонарушений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распространение правовых знаний среди населения, разъяснение норм поведения в общественных местах.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ДЕЯТЕЛЬНОСТИ НАРОДНОЙ ДРУЖИНЫ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муниципального образования и  территориальным органом внутренних дел.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3.2.В целях  взаимодействия и координации деятельности народной дружины  создается штаб, порядок создания и деятельности которого, определяется законами субъектов  Российской Федерации, для решения вопросов в сфере охраны общественного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ДЕЯТЕЛЬНОСТЬ НАРОДНОЙ ДРУЖИНЫ. ПРАВА И ОБЯЗАННОСТИ ЧЛЕНОВ НАРОДНОЙ ДРУЖИНЫ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народную дружину в соответствии со статьей 14 Федерального закона от 02.04.2014 № 44-ФЗ «Об участии граждан в охране общественного порядка»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>
        <w:rPr>
          <w:rFonts w:ascii="Times New Roman" w:hAnsi="Times New Roman" w:cs="Times New Roman"/>
          <w:sz w:val="24"/>
          <w:szCs w:val="24"/>
        </w:rPr>
        <w:t>4.2. В народную дружину в соответствии со статьей 14 Федерального закона от 02.04.2014 № 44-ФЗ «Об участии граждан в охране общественного порядка» не могут быть приняты граждане:                                                                                                                                                            1) имеющие неснятую или непогашенную судимость;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Федеральным </w:t>
      </w:r>
      <w:hyperlink r:id="rId1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в отношении которых, вступившим в законную силу решением суда, установлено, что в их действиях содержатся признаки экстремистской деятельности;</w:t>
      </w:r>
      <w:proofErr w:type="gramEnd"/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 умышленно;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наступлении обстоятельств, указанных в </w:t>
      </w:r>
      <w:hyperlink r:id="rId13" w:anchor="Par2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Народные дружинники при участии в охране общественного порядка имеют право: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прекратить противоправные действия;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оказывать содействие полиции при выполнении возложенных на нее Федеральным </w:t>
      </w:r>
      <w:hyperlink r:id="rId1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07.02.2011 № 3-ФЗ «О полиции» обязанностей в сфере охраны общественного порядка;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применять физическую силу в случаях и порядке, предусмотренных настоящим  Федеральным  законом,  ст. 19 Федерального  закона от 02.04.2014г № 44-ФЗ, который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предусматривает общие условия  и пределы  применения  народными  дружинниками физической  силы.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иные права предусмотренные настоящим  Федеральным  законом, другими  федеральными законами.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Народные дружинники при участии в охране общественного порядка обязаны: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Народные дружинники привлекаются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территориальным органом внутренних дел и иными правоохранительными органами.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Порядок взаимодействия народной дружины с территориальным органом внутренних дел определяется совместным соглашением, заключенным между народной дружиной,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территориальным органом внутренних дел и иных правоохранительных органов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НАРОДНЫХ ДРУЖИННИКОВ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МАТЕРИАЛЬНОЕ СТИМУЛИРОВАНИЕ И ПООЩРЕНИЕ НАРОДНЫХ ДРУЖИННИКОВ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Администрация муниципального образования осуществляет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D12F0D" w:rsidRDefault="00D12F0D" w:rsidP="00D12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объявление благодарности;</w:t>
      </w:r>
    </w:p>
    <w:p w:rsidR="00D12F0D" w:rsidRDefault="00D12F0D" w:rsidP="00D12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награждение ценным подарком;</w:t>
      </w:r>
    </w:p>
    <w:p w:rsidR="00D12F0D" w:rsidRDefault="00D12F0D" w:rsidP="00D12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награждение почетной грамотой;</w:t>
      </w:r>
    </w:p>
    <w:p w:rsidR="00D12F0D" w:rsidRDefault="00D12F0D" w:rsidP="00D12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народным дружинникам во время исполнения обязанностей народного дружинника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представляются к награждению в соответствии с законодательством Российской Федерации.</w:t>
      </w:r>
    </w:p>
    <w:p w:rsidR="00D12F0D" w:rsidRDefault="00D12F0D" w:rsidP="00D12F0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 И ОРГАНИЗАЦИОННОЕ ОБЕСПЕЧЕНИЕ ДЕЯТЕЛЬНОСТИ НАРОДНОЙ ДРУЖИНЫ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12F0D" w:rsidRDefault="00D12F0D" w:rsidP="00D1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Администрация муниципального образования предоставляет народной дружине помещение, технические и иные материальные средства, необходимые для осуществления их деятельности, в пределах средств, предусмотренных на эти цели в местном бюджет</w:t>
      </w:r>
    </w:p>
    <w:p w:rsidR="00D12F0D" w:rsidRDefault="00D12F0D" w:rsidP="00D12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0D" w:rsidRDefault="00D12F0D" w:rsidP="00D12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0D" w:rsidRDefault="00D12F0D" w:rsidP="00D12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0D" w:rsidRDefault="00D12F0D" w:rsidP="00D12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0D" w:rsidRDefault="00D12F0D" w:rsidP="00D12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DA" w:rsidRPr="00052C7C" w:rsidRDefault="00B520DA" w:rsidP="00052C7C">
      <w:pPr>
        <w:rPr>
          <w:szCs w:val="24"/>
        </w:rPr>
      </w:pPr>
    </w:p>
    <w:sectPr w:rsidR="00B520DA" w:rsidRPr="00052C7C" w:rsidSect="00D12F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0DA"/>
    <w:rsid w:val="00052C7C"/>
    <w:rsid w:val="0008088E"/>
    <w:rsid w:val="000C065E"/>
    <w:rsid w:val="000D7A29"/>
    <w:rsid w:val="003A10B4"/>
    <w:rsid w:val="00B520DA"/>
    <w:rsid w:val="00D12F0D"/>
    <w:rsid w:val="00D27486"/>
    <w:rsid w:val="00DC6951"/>
    <w:rsid w:val="00E2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A09F17981D297FE7AB93A461F265984167FC9CD658156C29EBD49A49344D72IAE" TargetMode="External"/><Relationship Id="rId13" Type="http://schemas.openxmlformats.org/officeDocument/2006/relationships/hyperlink" Target="file:///C:\Users\user\AppData\Local\Temp\&#1086;&#1082;&#1072;&#1079;&#1072;&#1085;&#1080;&#1077;%20&#1087;&#1086;&#1076;&#1076;&#1077;&#1088;&#1078;&#1082;&#1080;,%20&#1076;&#1077;&#1103;&#1090;&#1077;&#1083;&#1100;&#1085;&#1086;&#1089;&#1090;&#1100;%20&#1085;&#1072;&#1088;&#1086;&#1076;&#1085;&#1099;&#1093;%20&#1076;&#1088;&#1091;&#1078;&#1080;&#108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9A09F17981D297FE7B59EB20DA869984C38F09CD656463776B089CD74I0E" TargetMode="External"/><Relationship Id="rId12" Type="http://schemas.openxmlformats.org/officeDocument/2006/relationships/hyperlink" Target="consultantplus://offline/ref=C9C9A09F17981D297FE7B59EB20DA869984238F692D056463776B089CD74I0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D4813E7BFD818DBEA19BEC6AA7EBEBEDE415F052A7F2F6A6AC9FB0561AF6ZE16M" TargetMode="External"/><Relationship Id="rId11" Type="http://schemas.openxmlformats.org/officeDocument/2006/relationships/hyperlink" Target="consultantplus://offline/ref=C9C9A09F17981D297FE7AB93A461F265984167FC9CD658156C29EBD49A49344D72IAE" TargetMode="External"/><Relationship Id="rId5" Type="http://schemas.openxmlformats.org/officeDocument/2006/relationships/hyperlink" Target="consultantplus://offline/ref=289659CD197694BB4740D4813E7BFD818DB0A29BE36CA7EBEBEDE415F052A7F2F6A6AC9AB0Z51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C9A09F17981D297FE7B59EB20DA869984C38F09CD656463776B089CD74I0E" TargetMode="External"/><Relationship Id="rId4" Type="http://schemas.openxmlformats.org/officeDocument/2006/relationships/hyperlink" Target="consultantplus://offline/ref=289659CD197694BB4740D4813E7BFD818DB0A29BE36CA7EBEBEDE415F052A7F2F6A6AC9AB0Z51EM" TargetMode="External"/><Relationship Id="rId9" Type="http://schemas.openxmlformats.org/officeDocument/2006/relationships/hyperlink" Target="consultantplus://offline/ref=C9C9A09F17981D297FE7B59EB20DA869984D3FF390D056463776B089CD74I0E" TargetMode="External"/><Relationship Id="rId14" Type="http://schemas.openxmlformats.org/officeDocument/2006/relationships/hyperlink" Target="consultantplus://offline/ref=C9C9A09F17981D297FE7B59EB20DA86998423BF697D256463776B089CD74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2502</Words>
  <Characters>14263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2017-10-27T07:04:00Z</dcterms:created>
  <dcterms:modified xsi:type="dcterms:W3CDTF">2018-02-13T01:44:00Z</dcterms:modified>
</cp:coreProperties>
</file>