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19"/>
        <w:ind w:left="13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годов” (в редакции решения№ от . .2022г 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14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2022год</w:t>
      </w:r>
      <w:bookmarkEnd w:id="0"/>
    </w:p>
    <w:p>
      <w:pPr>
        <w:pStyle w:val="Style10"/>
        <w:framePr w:w="1585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445"/>
        <w:gridCol w:w="2280"/>
        <w:gridCol w:w="2386"/>
        <w:gridCol w:w="1200"/>
        <w:gridCol w:w="528"/>
        <w:gridCol w:w="806"/>
        <w:gridCol w:w="811"/>
        <w:gridCol w:w="605"/>
        <w:gridCol w:w="950"/>
        <w:gridCol w:w="1118"/>
        <w:gridCol w:w="1037"/>
        <w:gridCol w:w="586"/>
        <w:gridCol w:w="970"/>
        <w:gridCol w:w="1138"/>
      </w:tblGrid>
      <w:tr>
        <w:trPr>
          <w:trHeight w:val="1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2022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Уточненный план на 2022 год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Федерал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ь-ные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Республи</w:t>
              <w:softHyphen/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канские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10" w:lineRule="exact"/>
              <w:ind w:left="0" w:right="0" w:firstLine="0"/>
            </w:pPr>
            <w:r>
              <w:rPr>
                <w:rStyle w:val="CharStyle13"/>
              </w:rPr>
              <w:t>Местные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в том числе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Федера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ль-ные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Республи</w:t>
              <w:softHyphen/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канские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10" w:lineRule="exact"/>
              <w:ind w:left="0" w:right="0" w:firstLine="0"/>
            </w:pPr>
            <w:r>
              <w:rPr>
                <w:rStyle w:val="CharStyle13"/>
              </w:rPr>
              <w:t>Местные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Федерал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ь-ные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Республи</w:t>
              <w:softHyphen/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канские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Местные 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район”,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1 093,7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1 093,7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1 093,7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1 093,7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4 662,900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6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4 928,8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4 928,8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3"/>
              </w:rPr>
              <w:t>5 878,1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6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3"/>
              </w:rPr>
              <w:t>6 022,5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4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3"/>
              </w:rPr>
              <w:t>4 928,8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1 093,7</w:t>
            </w:r>
          </w:p>
        </w:tc>
      </w:tr>
    </w:tbl>
    <w:p>
      <w:pPr>
        <w:framePr w:w="1585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11" w:left="270" w:right="712" w:bottom="151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4.45pt;margin-top:70.1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Sylfaen" w:eastAsia="Sylfaen" w:hAnsi="Sylfaen" w:cs="Sylfae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4"/>
      <w:szCs w:val="14"/>
      <w:rFonts w:ascii="Sylfaen" w:eastAsia="Sylfaen" w:hAnsi="Sylfaen" w:cs="Sylfae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2">
    <w:name w:val="Подпись к таблице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Sylfaen" w:eastAsia="Sylfaen" w:hAnsi="Sylfaen" w:cs="Sylfae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42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Sylfaen" w:eastAsia="Sylfaen" w:hAnsi="Sylfaen" w:cs="Sylfae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