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29" w:rsidRDefault="00A2711C">
      <w:pPr>
        <w:pStyle w:val="20"/>
        <w:keepNext/>
        <w:keepLines/>
        <w:shd w:val="clear" w:color="auto" w:fill="auto"/>
        <w:spacing w:line="160" w:lineRule="exact"/>
        <w:ind w:left="15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8.15pt;margin-top:-52.95pt;width:159.1pt;height:49pt;z-index:-251658752;mso-wrap-distance-left:5pt;mso-wrap-distance-right:5pt;mso-position-horizontal-relative:margin" filled="f" stroked="f">
            <v:textbox style="mso-fit-shape-to-text:t" inset="0,0,0,0">
              <w:txbxContent>
                <w:p w:rsidR="00F04C29" w:rsidRDefault="00A2711C">
                  <w:pPr>
                    <w:pStyle w:val="4"/>
                    <w:shd w:val="clear" w:color="auto" w:fill="auto"/>
                    <w:spacing w:line="154" w:lineRule="exact"/>
                    <w:jc w:val="right"/>
                  </w:pPr>
                  <w:r>
                    <w:t xml:space="preserve">приложение </w:t>
                  </w:r>
                  <w:r>
                    <w:rPr>
                      <w:rStyle w:val="4Constantia5ptExact"/>
                    </w:rPr>
                    <w:t xml:space="preserve">22 </w:t>
                  </w:r>
                  <w:r>
            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 30.04.2021г, № 29-1 от 16.11.2021г, №</w:t>
                  </w:r>
                  <w:r w:rsidR="009F5E97" w:rsidRPr="009F5E97">
                    <w:t>___</w:t>
                  </w:r>
                  <w:r w:rsidR="009F5E97">
                    <w:t xml:space="preserve"> от </w:t>
                  </w:r>
                  <w:r w:rsidR="009F5E97" w:rsidRPr="009F5E97">
                    <w:t>_____</w:t>
                  </w:r>
                  <w:bookmarkStart w:id="0" w:name="_GoBack"/>
                  <w:bookmarkEnd w:id="0"/>
                  <w:r>
                    <w:t>г)</w:t>
                  </w:r>
                </w:p>
              </w:txbxContent>
            </v:textbox>
            <w10:wrap type="topAndBottom" anchorx="margin"/>
          </v:shape>
        </w:pict>
      </w:r>
      <w:bookmarkStart w:id="1" w:name="bookmark0"/>
      <w: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1"/>
    </w:p>
    <w:p w:rsidR="00F04C29" w:rsidRDefault="00A2711C">
      <w:pPr>
        <w:pStyle w:val="30"/>
        <w:framePr w:w="15955" w:wrap="notBeside" w:vAnchor="text" w:hAnchor="text" w:xAlign="center" w:y="1"/>
        <w:shd w:val="clear" w:color="auto" w:fill="auto"/>
        <w:spacing w:line="8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3754"/>
        <w:gridCol w:w="1267"/>
        <w:gridCol w:w="893"/>
        <w:gridCol w:w="965"/>
        <w:gridCol w:w="950"/>
        <w:gridCol w:w="1013"/>
        <w:gridCol w:w="1104"/>
        <w:gridCol w:w="1162"/>
        <w:gridCol w:w="1248"/>
        <w:gridCol w:w="1080"/>
        <w:gridCol w:w="1094"/>
        <w:gridCol w:w="1018"/>
      </w:tblGrid>
      <w:tr w:rsidR="00F04C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CenturySchoolbook7pt"/>
              </w:rPr>
              <w:t>Показатели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105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F04C29">
            <w:pPr>
              <w:framePr w:w="15955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F04C29">
            <w:pPr>
              <w:framePr w:w="15955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Елинское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Теньгинское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Куладинское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Каракольское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after="60" w:line="110" w:lineRule="exact"/>
            </w:pPr>
            <w:r>
              <w:rPr>
                <w:rStyle w:val="255pt"/>
                <w:b/>
                <w:bCs/>
              </w:rPr>
              <w:t>Нижне-</w:t>
            </w:r>
          </w:p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6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Талдинское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Шашикманское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Хабаровское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Купчегеньское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Ининское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Онгудайское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CenturySchoolbook7pt"/>
              </w:rPr>
              <w:t>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620"/>
              <w:jc w:val="left"/>
            </w:pPr>
            <w:r>
              <w:rPr>
                <w:rStyle w:val="26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500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11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both"/>
            </w:pPr>
            <w:r>
              <w:rPr>
                <w:rStyle w:val="255pt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54 842,2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5 802,7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7</w:t>
            </w:r>
            <w:r>
              <w:rPr>
                <w:rStyle w:val="255pt"/>
                <w:b/>
                <w:bCs/>
              </w:rPr>
              <w:t xml:space="preserve"> 213,3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5 400,2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6 625,4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3 299,1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4 809,4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740"/>
              <w:jc w:val="left"/>
            </w:pPr>
            <w:r>
              <w:rPr>
                <w:rStyle w:val="255pt"/>
                <w:b/>
                <w:bCs/>
              </w:rPr>
              <w:t>5 083,2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5 349,6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8 008,3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3 250,9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both"/>
            </w:pPr>
            <w:r>
              <w:rPr>
                <w:rStyle w:val="255pt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25 893,9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3 017,6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2 980,3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2 356,1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2 986,0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1 861,2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2 535,6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740"/>
              <w:jc w:val="left"/>
            </w:pPr>
            <w:r>
              <w:rPr>
                <w:rStyle w:val="255pt"/>
                <w:b/>
                <w:bCs/>
              </w:rPr>
              <w:t>2 367,5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2 890,3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3 949,3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600"/>
              <w:jc w:val="left"/>
            </w:pPr>
            <w:r>
              <w:rPr>
                <w:rStyle w:val="255pt"/>
                <w:b/>
                <w:bCs/>
              </w:rPr>
              <w:t>950,0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6pt"/>
              </w:rPr>
              <w:t xml:space="preserve">Дотация на выравнивание </w:t>
            </w:r>
            <w:r>
              <w:rPr>
                <w:rStyle w:val="26pt"/>
              </w:rPr>
              <w:t>уровня бюджетной обеспеченности поселений, выделяемая бюджетом муниципального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25 893,9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3 017,6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2 980,3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2 356,1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2 986,0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1 861,2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2 535,6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740"/>
              <w:jc w:val="left"/>
            </w:pPr>
            <w:r>
              <w:rPr>
                <w:rStyle w:val="26pt"/>
              </w:rPr>
              <w:t>2 367,5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2 890,3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500"/>
              <w:jc w:val="left"/>
            </w:pPr>
            <w:r>
              <w:rPr>
                <w:rStyle w:val="26pt"/>
              </w:rPr>
              <w:t>3 949,3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950,0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9" w:lineRule="exact"/>
              <w:jc w:val="both"/>
            </w:pPr>
            <w:r>
              <w:rPr>
                <w:rStyle w:val="255pt"/>
                <w:b/>
                <w:bCs/>
              </w:rPr>
              <w:t xml:space="preserve">Иные межбюджетные трансферты, передаваемые бюджетам сельских поселений </w:t>
            </w:r>
            <w:r>
              <w:rPr>
                <w:rStyle w:val="255pt"/>
                <w:b/>
                <w:bCs/>
              </w:rPr>
              <w:t>для компенсации дополнительных расходов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14 794,1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1 269,0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1 868,6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1 321,8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1 553,6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554,3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1 427,3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1 817,5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1 070,3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2 223,9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1 687,7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1.2.1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9" w:lineRule="exact"/>
              <w:jc w:val="both"/>
            </w:pPr>
            <w:r>
              <w:rPr>
                <w:rStyle w:val="255pt"/>
                <w:b/>
                <w:bCs/>
              </w:rPr>
              <w:t xml:space="preserve">Иные межбюджетные трансферты, передаваемые бюджетам сельских поселений для компенсации дополнительных расходов, возникших </w:t>
            </w:r>
            <w:r>
              <w:rPr>
                <w:rStyle w:val="255pt"/>
                <w:b/>
                <w:bCs/>
              </w:rPr>
              <w:t>в результате решений, принятых органами власти другого уровня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12 075,8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966,0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1 458,5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1 063,8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1 251,6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485,3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1 031,3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620"/>
              <w:jc w:val="left"/>
            </w:pPr>
            <w:r>
              <w:rPr>
                <w:rStyle w:val="255pt"/>
                <w:b/>
                <w:bCs/>
              </w:rPr>
              <w:t>1 700,5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845,3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500"/>
              <w:jc w:val="left"/>
            </w:pPr>
            <w:r>
              <w:rPr>
                <w:rStyle w:val="255pt"/>
                <w:b/>
                <w:bCs/>
              </w:rPr>
              <w:t>1 585,7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1 687,7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1.2.1.1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both"/>
            </w:pPr>
            <w:r>
              <w:rPr>
                <w:rStyle w:val="26pt"/>
              </w:rPr>
              <w:t xml:space="preserve">Иные межбюджетные трансферты на оплату труда с начислениями на неё работников бюджетной сферы </w:t>
            </w:r>
            <w:r>
              <w:rPr>
                <w:rStyle w:val="26pt"/>
              </w:rPr>
              <w:t>(работники учреждений культуры на исполнение УказовПрезидента РФ не ниже уровня 2020г)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1 335,7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1 335,7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"/>
              </w:rPr>
              <w:t>Иные межбюджетные трансферты на проведение выборов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217,7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67,7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6pt"/>
              </w:rPr>
              <w:t>Иные межбюджетные трансферты на решение вопросов</w:t>
            </w:r>
            <w:r>
              <w:rPr>
                <w:rStyle w:val="26pt"/>
              </w:rPr>
              <w:t xml:space="preserve"> по исполнению полонсмочий уровня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10 204,4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934,2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1 426,7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1 032,0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1 219,8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453,5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1 004,5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1 523,7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745,8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1 553,9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310,2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1.2.1.4.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6pt"/>
              </w:rPr>
              <w:t xml:space="preserve">Иные межбюджетные трансферты на софинансирование расходов местных бюджетов на обеспечение информатизации </w:t>
            </w:r>
            <w:r>
              <w:rPr>
                <w:rStyle w:val="26pt"/>
              </w:rPr>
              <w:t>бюджетного процесса в муниципальных образованиях в Республике Алтай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318,0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31,8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31,8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31,8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31,8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31,8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26,8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31,8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31,8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41,8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9" w:lineRule="exact"/>
              <w:jc w:val="both"/>
            </w:pPr>
            <w:r>
              <w:rPr>
                <w:rStyle w:val="255pt"/>
                <w:b/>
                <w:bCs/>
              </w:rPr>
              <w:t>Иные межбюджетные трансферты, передаваемые бюджетам сельских поселений на осуществление части полномочий по решению вопросов</w:t>
            </w:r>
            <w:r>
              <w:rPr>
                <w:rStyle w:val="255pt"/>
                <w:b/>
                <w:bCs/>
              </w:rPr>
              <w:t xml:space="preserve"> местного значения в соответствии с заключенными соглашениями о передаче полномочий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2 718,2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303,0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410,0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258,0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302,0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69,0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396,0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225,0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638,2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1.2.2.1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both"/>
            </w:pPr>
            <w:r>
              <w:rPr>
                <w:rStyle w:val="26pt"/>
              </w:rPr>
              <w:t xml:space="preserve">Иные межбюджетные трансферты, передаваемые бюджетам сельских поселений на осуществление части </w:t>
            </w:r>
            <w:r>
              <w:rPr>
                <w:rStyle w:val="26pt"/>
              </w:rPr>
              <w:t>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2 289,0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255,0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258,0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183,0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252,0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69,0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366,0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195,0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594,0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left="600"/>
              <w:jc w:val="left"/>
            </w:pPr>
            <w:r>
              <w:rPr>
                <w:rStyle w:val="2CenturySchoolbook7pt"/>
              </w:rPr>
              <w:t>-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1.2.2.2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both"/>
            </w:pPr>
            <w:r>
              <w:rPr>
                <w:rStyle w:val="26pt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429,2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152,0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82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44,2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both"/>
            </w:pPr>
            <w:r>
              <w:rPr>
                <w:rStyle w:val="255pt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1 4 1 54,2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1 516,1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2 364,4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1 722,3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2 085,7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883,6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846,5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740"/>
              <w:jc w:val="left"/>
            </w:pPr>
            <w:r>
              <w:rPr>
                <w:rStyle w:val="255pt"/>
                <w:b/>
                <w:bCs/>
              </w:rPr>
              <w:t>898,3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1 389,1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500"/>
              <w:jc w:val="left"/>
            </w:pPr>
            <w:r>
              <w:rPr>
                <w:rStyle w:val="255pt"/>
                <w:b/>
                <w:bCs/>
              </w:rPr>
              <w:t>1 835,2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613,2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1.3.1.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6pt"/>
              </w:rPr>
              <w:t xml:space="preserve">Субсидии на оплату труда с начислениями на неё работников бюджетной сферы (не </w:t>
            </w:r>
            <w:r>
              <w:rPr>
                <w:rStyle w:val="26pt"/>
              </w:rPr>
              <w:t>ниже МРОТ)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13 364,9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1 516,1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2 364,4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1 222,3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2 085,7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883,6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60"/>
              <w:jc w:val="right"/>
            </w:pPr>
            <w:r>
              <w:rPr>
                <w:rStyle w:val="26pt"/>
              </w:rPr>
              <w:t>898,3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1 389,1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500"/>
              <w:jc w:val="left"/>
            </w:pPr>
            <w:r>
              <w:rPr>
                <w:rStyle w:val="26pt"/>
              </w:rPr>
              <w:t>1 835,2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324,0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1.3.2.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"/>
              </w:rPr>
              <w:t>Субсидии на оплату труда работников учреждений культуры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289,3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left="96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CenturySchoolbook7pt"/>
              </w:rPr>
              <w:t>289,3</w:t>
            </w: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1..3.3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6pt"/>
              </w:rPr>
              <w:t xml:space="preserve">Субсидии на проведение капитального ремонта и ремонта автомобильных </w:t>
            </w:r>
            <w:r>
              <w:rPr>
                <w:rStyle w:val="26pt"/>
              </w:rPr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200"/>
              <w:jc w:val="right"/>
            </w:pPr>
            <w:r>
              <w:rPr>
                <w:rStyle w:val="26pt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26pt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C2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C29" w:rsidRDefault="00F04C29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jc w:val="both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54 842,2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5 802,7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7 213,3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5 400,2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6 625,4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3 299,1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255pt"/>
                <w:b/>
                <w:bCs/>
              </w:rPr>
              <w:t>4 809,4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5 083,2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5 349,6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left="500"/>
              <w:jc w:val="left"/>
            </w:pPr>
            <w:r>
              <w:rPr>
                <w:rStyle w:val="255pt"/>
                <w:b/>
                <w:bCs/>
              </w:rPr>
              <w:t>8 008,3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C29" w:rsidRDefault="00A2711C">
            <w:pPr>
              <w:pStyle w:val="22"/>
              <w:framePr w:w="15955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  <w:b/>
                <w:bCs/>
              </w:rPr>
              <w:t>3 250,9</w:t>
            </w:r>
          </w:p>
        </w:tc>
      </w:tr>
    </w:tbl>
    <w:p w:rsidR="00F04C29" w:rsidRDefault="00F04C29">
      <w:pPr>
        <w:framePr w:w="15955" w:wrap="notBeside" w:vAnchor="text" w:hAnchor="text" w:xAlign="center" w:y="1"/>
        <w:rPr>
          <w:sz w:val="2"/>
          <w:szCs w:val="2"/>
        </w:rPr>
      </w:pPr>
    </w:p>
    <w:p w:rsidR="00F04C29" w:rsidRDefault="00F04C29">
      <w:pPr>
        <w:rPr>
          <w:sz w:val="2"/>
          <w:szCs w:val="2"/>
        </w:rPr>
      </w:pPr>
    </w:p>
    <w:p w:rsidR="00F04C29" w:rsidRDefault="00F04C29">
      <w:pPr>
        <w:rPr>
          <w:sz w:val="2"/>
          <w:szCs w:val="2"/>
        </w:rPr>
      </w:pPr>
    </w:p>
    <w:sectPr w:rsidR="00F04C29">
      <w:pgSz w:w="16840" w:h="11900" w:orient="landscape"/>
      <w:pgMar w:top="1165" w:right="406" w:bottom="391" w:left="478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1C" w:rsidRDefault="00A2711C">
      <w:r>
        <w:separator/>
      </w:r>
    </w:p>
  </w:endnote>
  <w:endnote w:type="continuationSeparator" w:id="0">
    <w:p w:rsidR="00A2711C" w:rsidRDefault="00A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1C" w:rsidRDefault="00A2711C"/>
  </w:footnote>
  <w:footnote w:type="continuationSeparator" w:id="0">
    <w:p w:rsidR="00A2711C" w:rsidRDefault="00A271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4C29"/>
    <w:rsid w:val="009F5E97"/>
    <w:rsid w:val="00A2711C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C1374"/>
  <w15:docId w15:val="{15A63BBA-4803-412A-890A-C14D556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Constantia5ptExact">
    <w:name w:val="Основной текст (4) + Constantia;5 pt Exact"/>
    <w:basedOn w:val="4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Подпись к таблице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enturySchoolbook7pt">
    <w:name w:val="Основной текст (2) + Century Schoolbook;7 pt;Не 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2022-03-03T05:15:00Z</dcterms:created>
  <dcterms:modified xsi:type="dcterms:W3CDTF">2022-03-03T05:15:00Z</dcterms:modified>
</cp:coreProperties>
</file>