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36" w:line="120" w:lineRule="exact"/>
        <w:ind w:left="11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tbl>
      <w:tblPr>
        <w:tblOverlap w:val="never"/>
        <w:tblLayout w:type="fixed"/>
        <w:jc w:val="left"/>
      </w:tblPr>
      <w:tblGrid>
        <w:gridCol w:w="1262"/>
        <w:gridCol w:w="1978"/>
        <w:gridCol w:w="2078"/>
        <w:gridCol w:w="701"/>
        <w:gridCol w:w="706"/>
        <w:gridCol w:w="701"/>
        <w:gridCol w:w="883"/>
        <w:gridCol w:w="706"/>
        <w:gridCol w:w="941"/>
        <w:gridCol w:w="701"/>
        <w:gridCol w:w="830"/>
        <w:gridCol w:w="706"/>
        <w:gridCol w:w="979"/>
        <w:gridCol w:w="710"/>
      </w:tblGrid>
      <w:tr>
        <w:trPr>
          <w:trHeight w:val="13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Главный распорядитель бюджетных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Наименование публичного нормативного обязательства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Уточненный план на 2023 год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План на 2024г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Федераль</w:t>
              <w:softHyphen/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ные</w:t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Республи</w:t>
              <w:softHyphen/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канские</w:t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Местные</w:t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 том числе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в том числе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Федераль</w:t>
              <w:softHyphen/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ные</w:t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Республи</w:t>
              <w:softHyphen/>
              <w:t>канские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Местные</w:t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Федераль</w:t>
              <w:softHyphen/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ные</w:t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Республи-канские</w:t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Местные</w:t>
            </w:r>
          </w:p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средства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Администрация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Осуществление назначения и выплаты доплат к пенсиям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район", о порядке её назначения, переасчета и выплаты"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996,1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Итого по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996,0700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996,0700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996,1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Отдел образования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882" w:h="5026" w:hSpace="13782" w:wrap="notBeside" w:vAnchor="text" w:hAnchor="text" w:y="26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165,4000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165,4000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882" w:h="5026" w:hSpace="13782" w:wrap="notBeside" w:vAnchor="text" w:hAnchor="text" w:y="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Итого по Отделу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48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48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5 591,2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48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5 591,2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480" w:right="0" w:firstLine="0"/>
            </w:pPr>
            <w:r>
              <w:rPr>
                <w:rStyle w:val="CharStyle10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4 595,1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3882" w:h="5026" w:hSpace="13782" w:wrap="notBeside" w:vAnchor="text" w:hAnchor="text" w:y="26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996,1</w:t>
            </w:r>
          </w:p>
        </w:tc>
      </w:tr>
    </w:tbl>
    <w:p>
      <w:pPr>
        <w:pStyle w:val="Style13"/>
        <w:framePr w:w="11712" w:h="183" w:wrap="notBeside" w:vAnchor="text" w:hAnchor="text" w:x="236" w:y="-4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плановый период 2022 и 2023 годов</w:t>
      </w:r>
    </w:p>
    <w:p>
      <w:pPr>
        <w:pStyle w:val="Style15"/>
        <w:framePr w:w="562" w:h="167" w:hSpace="11074" w:wrap="notBeside" w:vAnchor="text" w:hAnchor="text" w:x="13316" w:y="145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rStyle w:val="CharStyle17"/>
        </w:rPr>
        <w:t>(тыс.рублей)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1561" w:left="572" w:right="2386" w:bottom="1561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05.3pt;margin-top:70.45pt;width:29.05pt;height:4.1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 + 4,5 pt"/>
    <w:basedOn w:val="CharStyle6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Основной текст (2) + 6 pt"/>
    <w:basedOn w:val="CharStyle9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1">
    <w:name w:val="Основной текст (2) + 5 pt,Не полужирный"/>
    <w:basedOn w:val="CharStyle9"/>
    <w:rPr>
      <w:lang w:val="ru-RU" w:eastAsia="ru-RU" w:bidi="ru-RU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12">
    <w:name w:val="Основной текст (2) + 5,5 pt,Не полужирный"/>
    <w:basedOn w:val="CharStyle9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4">
    <w:name w:val="Подпись к таблице_"/>
    <w:basedOn w:val="DefaultParagraphFont"/>
    <w:link w:val="Style13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6">
    <w:name w:val="Подпись к таблице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7">
    <w:name w:val="Подпись к таблице (2)"/>
    <w:basedOn w:val="CharStyle16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5">
    <w:name w:val="Подпись к таблице (2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