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none" w:pos="88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8"/>
        <w:ind w:left="6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”Об утверждении отчета об исполнении бюджета мунициапльного образования "Онгудайский район” за первое полугодие 2021 г</w:t>
        <w:tab/>
        <w:t>№ 940 от 21.07.2021г.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бюджета муниципального образования "Онгудайский район" по кодам классификации источников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финансирования дефицита бюджетов за первое полугодие 2021 года</w:t>
      </w:r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2"/>
          <w:b/>
          <w:bCs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502"/>
        <w:gridCol w:w="2414"/>
        <w:gridCol w:w="1800"/>
        <w:gridCol w:w="1070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5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5"/>
              </w:rPr>
              <w:t>Исполнено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-39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16"/>
              </w:rPr>
              <w:t>638,2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-2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16"/>
              </w:rPr>
              <w:t>180,4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39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16"/>
              </w:rPr>
              <w:t>638,2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2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16"/>
              </w:rPr>
              <w:t>180,4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-</w:t>
            </w:r>
            <w:r>
              <w:rPr>
                <w:rStyle w:val="CharStyle16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-</w:t>
            </w:r>
            <w:r>
              <w:rPr>
                <w:rStyle w:val="CharStyle16"/>
              </w:rPr>
              <w:t>633,0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-5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-</w:t>
            </w:r>
            <w:r>
              <w:rPr>
                <w:rStyle w:val="CharStyle18"/>
              </w:rPr>
              <w:t>633,0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-5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-</w:t>
            </w:r>
            <w:r>
              <w:rPr>
                <w:rStyle w:val="CharStyle18"/>
              </w:rPr>
              <w:t>633,0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5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-5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9"/>
              </w:rPr>
              <w:t>-</w:t>
            </w:r>
            <w:r>
              <w:rPr>
                <w:rStyle w:val="CharStyle18"/>
              </w:rPr>
              <w:t>633,0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40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271,2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2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18"/>
              </w:rPr>
              <w:t>813,4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719" w:left="1310" w:right="803" w:bottom="7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15pt;margin-top:28.6pt;width:43.45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5">
    <w:name w:val="Основной текст (2) + 7 pt,Полужирный"/>
    <w:basedOn w:val="CharStyle1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8 pt,Полужирный"/>
    <w:basedOn w:val="CharStyle1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Основной текст (2) + 4 pt,Полужирный"/>
    <w:basedOn w:val="CharStyle14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8">
    <w:name w:val="Основной текст (2) + 8 pt"/>
    <w:basedOn w:val="CharStyle1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9">
    <w:name w:val="Основной текст (2) + 4 pt"/>
    <w:basedOn w:val="CharStyle1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120"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before="120" w:line="173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