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5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8.15pt;margin-top:-52.95pt;width:159.1pt;height:49.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приложение </w:t>
                  </w:r>
                  <w:r>
                    <w:rPr>
                      <w:rStyle w:val="CharStyle5"/>
                    </w:rPr>
                    <w:t xml:space="preserve">22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 30.04.2021г, № 29-1 от 16.11.2021г, №31</w:t>
                    <w:softHyphen/>
                    <w:t>3 от 23.12.2021г)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8"/>
        <w:framePr w:w="159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8"/>
        <w:gridCol w:w="3754"/>
        <w:gridCol w:w="1267"/>
        <w:gridCol w:w="893"/>
        <w:gridCol w:w="965"/>
        <w:gridCol w:w="950"/>
        <w:gridCol w:w="1013"/>
        <w:gridCol w:w="1104"/>
        <w:gridCol w:w="1162"/>
        <w:gridCol w:w="1248"/>
        <w:gridCol w:w="1080"/>
        <w:gridCol w:w="1094"/>
        <w:gridCol w:w="1018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Нижне-</w:t>
            </w:r>
          </w:p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20" w:right="0" w:firstLine="0"/>
            </w:pPr>
            <w:r>
              <w:rPr>
                <w:rStyle w:val="CharStyle14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4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54 842,2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5 802,7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7 213,3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5 400,2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6 625,4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3 299,1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4 809,4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40" w:right="0" w:firstLine="0"/>
            </w:pPr>
            <w:r>
              <w:rPr>
                <w:rStyle w:val="CharStyle13"/>
                <w:b/>
                <w:bCs/>
              </w:rPr>
              <w:t>5 083,2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5 349,6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8 008,3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3 250,9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40" w:right="0" w:firstLine="0"/>
            </w:pPr>
            <w:r>
              <w:rPr>
                <w:rStyle w:val="CharStyle13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3"/>
                <w:b/>
                <w:bCs/>
              </w:rPr>
              <w:t>950,0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40" w:right="0" w:firstLine="0"/>
            </w:pPr>
            <w:r>
              <w:rPr>
                <w:rStyle w:val="CharStyle14"/>
                <w:b w:val="0"/>
                <w:bCs w:val="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4"/>
                <w:b w:val="0"/>
                <w:bCs w:val="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950,0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14 794,1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1 868,6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1 321,8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1 553,6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1 427,3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1 817,5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1 070,3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2 223,9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1 687,7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12 075,8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966,0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1 458,5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1 063,8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1 251,6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485,3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1 031,3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20" w:right="0" w:firstLine="0"/>
            </w:pPr>
            <w:r>
              <w:rPr>
                <w:rStyle w:val="CharStyle13"/>
                <w:b/>
                <w:bCs/>
              </w:rPr>
              <w:t>1 700,5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845,3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/>
                <w:bCs/>
              </w:rPr>
              <w:t>1 585,7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1 687,7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1 335,7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решение вопросов по исполнению полонсмочий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10 204,4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1 219,8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1 523,7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310,2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41,8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2 718,2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396,0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638,2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2 289,0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366,0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-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20" w:right="0" w:firstLine="0"/>
            </w:pPr>
            <w:r>
              <w:rPr>
                <w:rStyle w:val="CharStyle14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1 4 1 54,2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1 722,3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40" w:right="0" w:firstLine="0"/>
            </w:pPr>
            <w:r>
              <w:rPr>
                <w:rStyle w:val="CharStyle13"/>
                <w:b/>
                <w:bCs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/>
                <w:bCs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613,2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13 364,9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1 222,3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  <w:b w:val="0"/>
                <w:bCs w:val="0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4"/>
                <w:b w:val="0"/>
                <w:bCs w:val="0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324,0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оплату труда работников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960" w:right="0" w:firstLine="0"/>
            </w:pPr>
            <w:r>
              <w:rPr>
                <w:rStyle w:val="CharStyle14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289,3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4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54 842,2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5 802,7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7 213,3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5 400,2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6 625,4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3 299,1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4 809,4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5 083,2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5 349,6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/>
                <w:bCs/>
              </w:rPr>
              <w:t>8 008,3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3 250,9</w:t>
            </w:r>
          </w:p>
        </w:tc>
      </w:tr>
    </w:tbl>
    <w:p>
      <w:pPr>
        <w:framePr w:w="15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165" w:left="478" w:right="406" w:bottom="391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">
    <w:name w:val="Основной текст (4) + Constantia,5 pt Exact"/>
    <w:basedOn w:val="CharStyle4"/>
    <w:rPr>
      <w:lang w:val="ru-RU" w:eastAsia="ru-RU" w:bidi="ru-RU"/>
      <w:sz w:val="10"/>
      <w:szCs w:val="10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Основной текст (2) + Century Schoolbook,7 pt,Не полужирный"/>
    <w:basedOn w:val="CharStyle11"/>
    <w:rPr>
      <w:lang w:val="ru-RU" w:eastAsia="ru-RU" w:bidi="ru-RU"/>
      <w:b/>
      <w:bCs/>
      <w:sz w:val="14"/>
      <w:szCs w:val="14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13">
    <w:name w:val="Основной текст (2) + 5,5 pt"/>
    <w:basedOn w:val="CharStyle11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6 pt,Не полужирный"/>
    <w:basedOn w:val="CharStyle11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">
    <w:name w:val="Подпись к таблице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