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4"/>
        <w:ind w:left="708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 утверждении отчета об исполнении бюджета мунициапльного образования "Онгудайский район" за первый квартал 2022 г №694/1 от21.04.2022г.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2" w:line="140" w:lineRule="exact"/>
        <w:ind w:left="5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источников финансирования дефицита бюджета муниципального образования "Онгудайский район" по кодам классификации</w:t>
        <w:br/>
        <w:t>источников финансирования дефицита бюджетов за первый квартал 2022 года</w:t>
      </w:r>
    </w:p>
    <w:p>
      <w:pPr>
        <w:pStyle w:val="Style5"/>
        <w:framePr w:w="1031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7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579"/>
        <w:gridCol w:w="2458"/>
        <w:gridCol w:w="1829"/>
        <w:gridCol w:w="1445"/>
      </w:tblGrid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8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Исполнено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-4</w:t>
            </w:r>
            <w:r>
              <w:rPr>
                <w:rStyle w:val="CharStyle10"/>
              </w:rPr>
              <w:t xml:space="preserve"> </w:t>
            </w:r>
            <w:r>
              <w:rPr>
                <w:rStyle w:val="CharStyle9"/>
              </w:rPr>
              <w:t>104,2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25</w:t>
            </w:r>
            <w:r>
              <w:rPr>
                <w:rStyle w:val="CharStyle10"/>
              </w:rPr>
              <w:t xml:space="preserve"> </w:t>
            </w:r>
            <w:r>
              <w:rPr>
                <w:rStyle w:val="CharStyle9"/>
              </w:rPr>
              <w:t>197,7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4</w:t>
            </w:r>
            <w:r>
              <w:rPr>
                <w:rStyle w:val="CharStyle10"/>
              </w:rPr>
              <w:t xml:space="preserve"> </w:t>
            </w:r>
            <w:r>
              <w:rPr>
                <w:rStyle w:val="CharStyle9"/>
              </w:rPr>
              <w:t>104,2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-25</w:t>
            </w:r>
            <w:r>
              <w:rPr>
                <w:rStyle w:val="CharStyle10"/>
              </w:rPr>
              <w:t xml:space="preserve"> </w:t>
            </w:r>
            <w:r>
              <w:rPr>
                <w:rStyle w:val="CharStyle9"/>
              </w:rPr>
              <w:t>197,7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4 104,2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-25 197,7</w:t>
            </w:r>
          </w:p>
        </w:tc>
      </w:tr>
    </w:tbl>
    <w:p>
      <w:pPr>
        <w:framePr w:w="103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3" w:left="1298" w:right="291" w:bottom="48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Подпись к таблице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Подпись к таблице (2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0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1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Подпись к таблице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